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3E" w:rsidRPr="00F4073E" w:rsidRDefault="00F4073E" w:rsidP="00F4073E">
      <w:pPr>
        <w:rPr>
          <w:rFonts w:asciiTheme="majorHAnsi" w:hAnsiTheme="majorHAnsi" w:cs="Trebuchet MS"/>
          <w:b/>
          <w:bCs/>
          <w:color w:val="1E2C3B"/>
          <w:szCs w:val="40"/>
          <w:lang w:val="en-US"/>
        </w:rPr>
      </w:pPr>
      <w:r w:rsidRPr="00F4073E">
        <w:rPr>
          <w:rFonts w:asciiTheme="majorHAnsi" w:hAnsiTheme="majorHAnsi" w:cs="Trebuchet MS"/>
          <w:b/>
          <w:bCs/>
          <w:color w:val="1E2C3B"/>
          <w:szCs w:val="40"/>
          <w:lang w:val="en-US"/>
        </w:rPr>
        <w:t>Task 2 Energy Transformations and Transfers</w:t>
      </w:r>
    </w:p>
    <w:p w:rsidR="00F4073E" w:rsidRPr="00F4073E" w:rsidRDefault="00F4073E" w:rsidP="00F4073E">
      <w:pPr>
        <w:rPr>
          <w:rFonts w:asciiTheme="majorHAnsi" w:hAnsiTheme="majorHAnsi" w:cs="Trebuchet MS"/>
          <w:b/>
          <w:bCs/>
          <w:color w:val="1E2C3B"/>
          <w:szCs w:val="40"/>
          <w:lang w:val="en-US"/>
        </w:rPr>
      </w:pPr>
    </w:p>
    <w:p w:rsidR="00F4073E" w:rsidRPr="00F4073E" w:rsidRDefault="00F4073E" w:rsidP="00F4073E">
      <w:pPr>
        <w:rPr>
          <w:rFonts w:asciiTheme="majorHAnsi" w:hAnsiTheme="majorHAnsi" w:cs="Trebuchet MS"/>
          <w:b/>
          <w:bCs/>
          <w:color w:val="1E2C3B"/>
          <w:szCs w:val="40"/>
          <w:lang w:val="en-US"/>
        </w:rPr>
      </w:pPr>
    </w:p>
    <w:p w:rsidR="00F4073E" w:rsidRPr="00F4073E" w:rsidRDefault="00F4073E" w:rsidP="00F4073E">
      <w:pPr>
        <w:jc w:val="center"/>
        <w:rPr>
          <w:rFonts w:asciiTheme="majorHAnsi" w:hAnsiTheme="majorHAnsi" w:cs="Trebuchet MS"/>
          <w:b/>
          <w:bCs/>
          <w:color w:val="1E2C3B"/>
          <w:szCs w:val="40"/>
          <w:lang w:val="en-US"/>
        </w:rPr>
      </w:pPr>
      <w:r w:rsidRPr="00F4073E">
        <w:rPr>
          <w:rFonts w:asciiTheme="majorHAnsi" w:hAnsiTheme="majorHAnsi" w:cs="Trebuchet MS"/>
          <w:b/>
          <w:bCs/>
          <w:noProof/>
          <w:color w:val="1E2C3B"/>
          <w:szCs w:val="40"/>
          <w:lang w:val="en-US"/>
        </w:rPr>
        <w:drawing>
          <wp:inline distT="0" distB="0" distL="0" distR="0">
            <wp:extent cx="3718699" cy="1995999"/>
            <wp:effectExtent l="25400" t="0" r="0" b="0"/>
            <wp:docPr id="1" name="Picture 0" descr="Screen shot 2013-06-25 at 6.00.2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6-25 at 6.00.26 A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8398" cy="200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73E" w:rsidRPr="00F4073E" w:rsidRDefault="00F4073E" w:rsidP="00F4073E">
      <w:pPr>
        <w:rPr>
          <w:rFonts w:asciiTheme="majorHAnsi" w:hAnsiTheme="majorHAnsi" w:cs="Trebuchet MS"/>
          <w:bCs/>
          <w:color w:val="1E2C3B"/>
          <w:szCs w:val="40"/>
          <w:lang w:val="en-US"/>
        </w:rPr>
      </w:pPr>
    </w:p>
    <w:tbl>
      <w:tblPr>
        <w:tblStyle w:val="TableGrid"/>
        <w:tblW w:w="0" w:type="auto"/>
        <w:tblInd w:w="-318" w:type="dxa"/>
        <w:tblLook w:val="00BF"/>
      </w:tblPr>
      <w:tblGrid>
        <w:gridCol w:w="4537"/>
        <w:gridCol w:w="6485"/>
      </w:tblGrid>
      <w:tr w:rsidR="00F4073E" w:rsidRPr="00F4073E">
        <w:tc>
          <w:tcPr>
            <w:tcW w:w="4537" w:type="dxa"/>
          </w:tcPr>
          <w:p w:rsidR="00F4073E" w:rsidRPr="00F4073E" w:rsidRDefault="00F4073E" w:rsidP="00B06DB9">
            <w:pPr>
              <w:numPr>
                <w:ilvl w:val="0"/>
                <w:numId w:val="1"/>
              </w:numPr>
              <w:spacing w:before="240"/>
              <w:ind w:left="318" w:hanging="284"/>
              <w:rPr>
                <w:rFonts w:asciiTheme="majorHAnsi" w:hAnsiTheme="majorHAnsi" w:cs="Trebuchet MS"/>
                <w:bCs/>
                <w:color w:val="1E2C3B"/>
                <w:szCs w:val="40"/>
                <w:lang w:val="en-US"/>
              </w:rPr>
            </w:pPr>
            <w:r w:rsidRPr="00F4073E">
              <w:rPr>
                <w:rFonts w:asciiTheme="majorHAnsi" w:hAnsiTheme="majorHAnsi" w:cs="Trebuchet MS"/>
                <w:bCs/>
                <w:color w:val="1E2C3B"/>
                <w:szCs w:val="40"/>
                <w:lang w:val="en-US"/>
              </w:rPr>
              <w:t>The Polar bear (</w:t>
            </w:r>
            <w:proofErr w:type="spellStart"/>
            <w:r w:rsidRPr="00F4073E">
              <w:rPr>
                <w:rFonts w:asciiTheme="majorHAnsi" w:hAnsiTheme="majorHAnsi" w:cs="Trebuchet MS"/>
                <w:bCs/>
                <w:i/>
                <w:iCs/>
                <w:color w:val="1E2C3B"/>
                <w:szCs w:val="40"/>
                <w:lang w:val="en-US"/>
              </w:rPr>
              <w:t>Ursus</w:t>
            </w:r>
            <w:proofErr w:type="spellEnd"/>
            <w:r w:rsidRPr="00F4073E">
              <w:rPr>
                <w:rFonts w:asciiTheme="majorHAnsi" w:hAnsiTheme="majorHAnsi" w:cs="Trebuchet MS"/>
                <w:bCs/>
                <w:i/>
                <w:iCs/>
                <w:color w:val="1E2C3B"/>
                <w:szCs w:val="40"/>
                <w:lang w:val="en-US"/>
              </w:rPr>
              <w:t xml:space="preserve"> </w:t>
            </w:r>
            <w:proofErr w:type="spellStart"/>
            <w:r w:rsidRPr="00F4073E">
              <w:rPr>
                <w:rFonts w:asciiTheme="majorHAnsi" w:hAnsiTheme="majorHAnsi" w:cs="Trebuchet MS"/>
                <w:bCs/>
                <w:i/>
                <w:iCs/>
                <w:color w:val="1E2C3B"/>
                <w:szCs w:val="40"/>
                <w:lang w:val="en-US"/>
              </w:rPr>
              <w:t>maritimus</w:t>
            </w:r>
            <w:proofErr w:type="spellEnd"/>
            <w:r w:rsidRPr="00F4073E">
              <w:rPr>
                <w:rFonts w:asciiTheme="majorHAnsi" w:hAnsiTheme="majorHAnsi" w:cs="Trebuchet MS"/>
                <w:bCs/>
                <w:i/>
                <w:iCs/>
                <w:color w:val="1E2C3B"/>
                <w:szCs w:val="40"/>
                <w:lang w:val="en-US"/>
              </w:rPr>
              <w:t xml:space="preserve">) </w:t>
            </w:r>
            <w:r w:rsidRPr="00F4073E">
              <w:rPr>
                <w:rFonts w:asciiTheme="majorHAnsi" w:hAnsiTheme="majorHAnsi" w:cs="Trebuchet MS"/>
                <w:bCs/>
                <w:color w:val="1E2C3B"/>
                <w:szCs w:val="40"/>
                <w:lang w:val="en-US"/>
              </w:rPr>
              <w:t>is a mammal. List the adaptations that are common to all mammals.</w:t>
            </w:r>
          </w:p>
          <w:p w:rsidR="00F4073E" w:rsidRPr="00F4073E" w:rsidRDefault="00F4073E" w:rsidP="00B06DB9">
            <w:pPr>
              <w:ind w:left="318" w:hanging="284"/>
              <w:rPr>
                <w:rFonts w:asciiTheme="majorHAnsi" w:hAnsiTheme="majorHAnsi" w:cs="Trebuchet MS"/>
                <w:bCs/>
                <w:color w:val="1E2C3B"/>
                <w:szCs w:val="40"/>
                <w:lang w:val="en-US"/>
              </w:rPr>
            </w:pPr>
          </w:p>
        </w:tc>
        <w:tc>
          <w:tcPr>
            <w:tcW w:w="6485" w:type="dxa"/>
          </w:tcPr>
          <w:p w:rsidR="00F4073E" w:rsidRPr="00F4073E" w:rsidRDefault="00F4073E">
            <w:pPr>
              <w:rPr>
                <w:rFonts w:asciiTheme="majorHAnsi" w:hAnsiTheme="majorHAnsi" w:cs="Trebuchet MS"/>
                <w:bCs/>
                <w:color w:val="1E2C3B"/>
                <w:szCs w:val="40"/>
                <w:lang w:val="en-US"/>
              </w:rPr>
            </w:pPr>
          </w:p>
          <w:p w:rsidR="00F4073E" w:rsidRPr="00F4073E" w:rsidRDefault="00F4073E">
            <w:pPr>
              <w:rPr>
                <w:rFonts w:asciiTheme="majorHAnsi" w:hAnsiTheme="majorHAnsi" w:cs="Trebuchet MS"/>
                <w:bCs/>
                <w:color w:val="1E2C3B"/>
                <w:szCs w:val="40"/>
                <w:lang w:val="en-US"/>
              </w:rPr>
            </w:pPr>
          </w:p>
          <w:p w:rsidR="00F4073E" w:rsidRPr="00F4073E" w:rsidRDefault="00F4073E">
            <w:pPr>
              <w:rPr>
                <w:rFonts w:asciiTheme="majorHAnsi" w:hAnsiTheme="majorHAnsi" w:cs="Trebuchet MS"/>
                <w:bCs/>
                <w:color w:val="1E2C3B"/>
                <w:szCs w:val="40"/>
                <w:lang w:val="en-US"/>
              </w:rPr>
            </w:pPr>
          </w:p>
          <w:p w:rsidR="00F4073E" w:rsidRPr="00F4073E" w:rsidRDefault="00F4073E">
            <w:pPr>
              <w:rPr>
                <w:rFonts w:asciiTheme="majorHAnsi" w:hAnsiTheme="majorHAnsi" w:cs="Trebuchet MS"/>
                <w:bCs/>
                <w:color w:val="1E2C3B"/>
                <w:szCs w:val="40"/>
                <w:lang w:val="en-US"/>
              </w:rPr>
            </w:pPr>
          </w:p>
          <w:p w:rsidR="00F4073E" w:rsidRDefault="00F4073E">
            <w:pPr>
              <w:rPr>
                <w:rFonts w:asciiTheme="majorHAnsi" w:hAnsiTheme="majorHAnsi" w:cs="Trebuchet MS"/>
                <w:bCs/>
                <w:color w:val="1E2C3B"/>
                <w:szCs w:val="40"/>
                <w:lang w:val="en-US"/>
              </w:rPr>
            </w:pPr>
          </w:p>
          <w:p w:rsidR="00F4073E" w:rsidRDefault="00F4073E">
            <w:pPr>
              <w:rPr>
                <w:rFonts w:asciiTheme="majorHAnsi" w:hAnsiTheme="majorHAnsi" w:cs="Trebuchet MS"/>
                <w:bCs/>
                <w:color w:val="1E2C3B"/>
                <w:szCs w:val="40"/>
                <w:lang w:val="en-US"/>
              </w:rPr>
            </w:pPr>
          </w:p>
          <w:p w:rsidR="00F4073E" w:rsidRDefault="00F4073E">
            <w:pPr>
              <w:rPr>
                <w:rFonts w:asciiTheme="majorHAnsi" w:hAnsiTheme="majorHAnsi" w:cs="Trebuchet MS"/>
                <w:bCs/>
                <w:color w:val="1E2C3B"/>
                <w:szCs w:val="40"/>
                <w:lang w:val="en-US"/>
              </w:rPr>
            </w:pPr>
          </w:p>
          <w:p w:rsidR="00F4073E" w:rsidRDefault="00F4073E">
            <w:pPr>
              <w:rPr>
                <w:rFonts w:asciiTheme="majorHAnsi" w:hAnsiTheme="majorHAnsi" w:cs="Trebuchet MS"/>
                <w:bCs/>
                <w:color w:val="1E2C3B"/>
                <w:szCs w:val="40"/>
                <w:lang w:val="en-US"/>
              </w:rPr>
            </w:pPr>
          </w:p>
          <w:p w:rsidR="00F4073E" w:rsidRPr="00F4073E" w:rsidRDefault="00F4073E">
            <w:pPr>
              <w:rPr>
                <w:rFonts w:asciiTheme="majorHAnsi" w:hAnsiTheme="majorHAnsi" w:cs="Trebuchet MS"/>
                <w:bCs/>
                <w:color w:val="1E2C3B"/>
                <w:szCs w:val="40"/>
                <w:lang w:val="en-US"/>
              </w:rPr>
            </w:pPr>
          </w:p>
        </w:tc>
      </w:tr>
      <w:tr w:rsidR="00F4073E" w:rsidRPr="00F4073E">
        <w:tc>
          <w:tcPr>
            <w:tcW w:w="4537" w:type="dxa"/>
          </w:tcPr>
          <w:p w:rsidR="00F4073E" w:rsidRDefault="00F4073E" w:rsidP="00B06DB9">
            <w:pPr>
              <w:numPr>
                <w:ilvl w:val="0"/>
                <w:numId w:val="1"/>
              </w:numPr>
              <w:ind w:left="318" w:hanging="284"/>
              <w:rPr>
                <w:rFonts w:asciiTheme="majorHAnsi" w:hAnsiTheme="majorHAnsi" w:cs="Trebuchet MS"/>
                <w:bCs/>
                <w:color w:val="1E2C3B"/>
                <w:szCs w:val="40"/>
                <w:lang w:val="en-US"/>
              </w:rPr>
            </w:pPr>
            <w:r w:rsidRPr="00F4073E">
              <w:rPr>
                <w:rFonts w:asciiTheme="majorHAnsi" w:hAnsiTheme="majorHAnsi" w:cs="Trebuchet MS"/>
                <w:bCs/>
                <w:color w:val="1E2C3B"/>
                <w:szCs w:val="40"/>
                <w:lang w:val="en-US"/>
              </w:rPr>
              <w:t>One adaptation that is common to all mammals is that they maintain a constant body temperature even though their environmental temperature changes. Draw a flow chart to show how chemical potential energy from food is converted into heat energy in the mammal body.</w:t>
            </w:r>
          </w:p>
          <w:p w:rsidR="00F4073E" w:rsidRPr="00F4073E" w:rsidRDefault="00F4073E" w:rsidP="00F4073E">
            <w:pPr>
              <w:rPr>
                <w:rFonts w:asciiTheme="majorHAnsi" w:hAnsiTheme="majorHAnsi" w:cs="Trebuchet MS"/>
                <w:bCs/>
                <w:color w:val="1E2C3B"/>
                <w:szCs w:val="40"/>
                <w:lang w:val="en-US"/>
              </w:rPr>
            </w:pPr>
          </w:p>
        </w:tc>
        <w:tc>
          <w:tcPr>
            <w:tcW w:w="6485" w:type="dxa"/>
          </w:tcPr>
          <w:p w:rsidR="00F4073E" w:rsidRPr="00F4073E" w:rsidRDefault="00F4073E">
            <w:pPr>
              <w:rPr>
                <w:rFonts w:asciiTheme="majorHAnsi" w:hAnsiTheme="majorHAnsi" w:cs="Trebuchet MS"/>
                <w:bCs/>
                <w:color w:val="1E2C3B"/>
                <w:szCs w:val="40"/>
                <w:lang w:val="en-US"/>
              </w:rPr>
            </w:pPr>
          </w:p>
        </w:tc>
      </w:tr>
      <w:tr w:rsidR="00F4073E" w:rsidRPr="00F4073E">
        <w:tc>
          <w:tcPr>
            <w:tcW w:w="11022" w:type="dxa"/>
            <w:gridSpan w:val="2"/>
          </w:tcPr>
          <w:p w:rsidR="00F4073E" w:rsidRDefault="00F4073E" w:rsidP="00F4073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rebuchet MS"/>
                <w:bCs/>
                <w:color w:val="1E2C3B"/>
                <w:szCs w:val="40"/>
                <w:lang w:val="en-US"/>
              </w:rPr>
            </w:pPr>
            <w:r w:rsidRPr="00F4073E">
              <w:rPr>
                <w:rFonts w:asciiTheme="majorHAnsi" w:hAnsiTheme="majorHAnsi" w:cs="Trebuchet MS"/>
                <w:bCs/>
                <w:color w:val="1E2C3B"/>
                <w:szCs w:val="40"/>
                <w:lang w:val="en-US"/>
              </w:rPr>
              <w:t xml:space="preserve">Heat is transferred from regions that are hotter to regions that are cooler. </w:t>
            </w:r>
            <w:r>
              <w:rPr>
                <w:rFonts w:asciiTheme="majorHAnsi" w:hAnsiTheme="majorHAnsi" w:cs="Trebuchet MS"/>
                <w:bCs/>
                <w:color w:val="1E2C3B"/>
                <w:szCs w:val="40"/>
                <w:lang w:val="en-US"/>
              </w:rPr>
              <w:t xml:space="preserve"> </w:t>
            </w:r>
            <w:r w:rsidRPr="00F4073E">
              <w:rPr>
                <w:rFonts w:asciiTheme="majorHAnsi" w:hAnsiTheme="majorHAnsi" w:cs="Trebuchet MS"/>
                <w:bCs/>
                <w:color w:val="1E2C3B"/>
                <w:szCs w:val="40"/>
                <w:lang w:val="en-US"/>
              </w:rPr>
              <w:t xml:space="preserve">Show on your image all of the places that heat </w:t>
            </w:r>
            <w:proofErr w:type="gramStart"/>
            <w:r w:rsidRPr="00F4073E">
              <w:rPr>
                <w:rFonts w:asciiTheme="majorHAnsi" w:hAnsiTheme="majorHAnsi" w:cs="Trebuchet MS"/>
                <w:bCs/>
                <w:color w:val="1E2C3B"/>
                <w:szCs w:val="40"/>
                <w:lang w:val="en-US"/>
              </w:rPr>
              <w:t>is</w:t>
            </w:r>
            <w:proofErr w:type="gramEnd"/>
            <w:r w:rsidRPr="00F4073E">
              <w:rPr>
                <w:rFonts w:asciiTheme="majorHAnsi" w:hAnsiTheme="majorHAnsi" w:cs="Trebuchet MS"/>
                <w:bCs/>
                <w:color w:val="1E2C3B"/>
                <w:szCs w:val="40"/>
                <w:lang w:val="en-US"/>
              </w:rPr>
              <w:t xml:space="preserve"> lost from the polar bear body. The arrow indicates the direction of heat flow.</w:t>
            </w:r>
          </w:p>
          <w:p w:rsidR="00F4073E" w:rsidRPr="00F4073E" w:rsidRDefault="00F4073E" w:rsidP="00F4073E">
            <w:pPr>
              <w:rPr>
                <w:rFonts w:asciiTheme="majorHAnsi" w:hAnsiTheme="majorHAnsi" w:cs="Trebuchet MS"/>
                <w:bCs/>
                <w:color w:val="1E2C3B"/>
                <w:szCs w:val="40"/>
                <w:lang w:val="en-US"/>
              </w:rPr>
            </w:pPr>
          </w:p>
        </w:tc>
      </w:tr>
      <w:tr w:rsidR="00F4073E" w:rsidRPr="00F4073E">
        <w:tc>
          <w:tcPr>
            <w:tcW w:w="4537" w:type="dxa"/>
          </w:tcPr>
          <w:p w:rsidR="00F4073E" w:rsidRPr="00F4073E" w:rsidRDefault="00F4073E" w:rsidP="00B06DB9">
            <w:pPr>
              <w:numPr>
                <w:ilvl w:val="0"/>
                <w:numId w:val="1"/>
              </w:numPr>
              <w:ind w:left="318" w:hanging="284"/>
              <w:rPr>
                <w:rFonts w:asciiTheme="majorHAnsi" w:hAnsiTheme="majorHAnsi" w:cs="Trebuchet MS"/>
                <w:bCs/>
                <w:color w:val="1E2C3B"/>
                <w:szCs w:val="40"/>
                <w:lang w:val="en-US"/>
              </w:rPr>
            </w:pPr>
            <w:r w:rsidRPr="00F4073E">
              <w:rPr>
                <w:rFonts w:asciiTheme="majorHAnsi" w:hAnsiTheme="majorHAnsi" w:cs="Arial"/>
                <w:color w:val="1A1A1A"/>
                <w:szCs w:val="26"/>
                <w:lang w:val="en-US"/>
              </w:rPr>
              <w:t xml:space="preserve">Different environmental conditions call for different methods </w:t>
            </w:r>
            <w:r>
              <w:rPr>
                <w:rFonts w:asciiTheme="majorHAnsi" w:hAnsiTheme="majorHAnsi" w:cs="Arial"/>
                <w:color w:val="1A1A1A"/>
                <w:szCs w:val="26"/>
                <w:lang w:val="en-US"/>
              </w:rPr>
              <w:t>of heat transfer. List the four</w:t>
            </w:r>
            <w:r w:rsidRPr="00F4073E">
              <w:rPr>
                <w:rFonts w:asciiTheme="majorHAnsi" w:hAnsiTheme="majorHAnsi" w:cs="Arial"/>
                <w:color w:val="1A1A1A"/>
                <w:szCs w:val="26"/>
                <w:lang w:val="en-US"/>
              </w:rPr>
              <w:t xml:space="preserve"> different ways that heat may be transferred from regions of high heat to regions of low heat. Define each of these four methods of heat transfer.</w:t>
            </w:r>
          </w:p>
          <w:p w:rsidR="00F4073E" w:rsidRDefault="00F4073E" w:rsidP="00F4073E">
            <w:pPr>
              <w:rPr>
                <w:rFonts w:asciiTheme="majorHAnsi" w:hAnsiTheme="majorHAnsi" w:cs="Arial"/>
                <w:color w:val="1A1A1A"/>
                <w:szCs w:val="26"/>
                <w:lang w:val="en-US"/>
              </w:rPr>
            </w:pPr>
          </w:p>
          <w:p w:rsidR="00F4073E" w:rsidRDefault="00F4073E" w:rsidP="00F4073E">
            <w:pPr>
              <w:rPr>
                <w:rFonts w:asciiTheme="majorHAnsi" w:hAnsiTheme="majorHAnsi" w:cs="Arial"/>
                <w:color w:val="1A1A1A"/>
                <w:szCs w:val="26"/>
                <w:lang w:val="en-US"/>
              </w:rPr>
            </w:pPr>
          </w:p>
          <w:p w:rsidR="00F4073E" w:rsidRDefault="00F4073E" w:rsidP="00F4073E">
            <w:pPr>
              <w:rPr>
                <w:rFonts w:asciiTheme="majorHAnsi" w:hAnsiTheme="majorHAnsi" w:cs="Arial"/>
                <w:color w:val="1A1A1A"/>
                <w:szCs w:val="26"/>
                <w:lang w:val="en-US"/>
              </w:rPr>
            </w:pPr>
          </w:p>
          <w:p w:rsidR="00F4073E" w:rsidRDefault="00F4073E" w:rsidP="00F4073E">
            <w:pPr>
              <w:rPr>
                <w:rFonts w:asciiTheme="majorHAnsi" w:hAnsiTheme="majorHAnsi" w:cs="Arial"/>
                <w:color w:val="1A1A1A"/>
                <w:szCs w:val="26"/>
                <w:lang w:val="en-US"/>
              </w:rPr>
            </w:pPr>
          </w:p>
          <w:p w:rsidR="006B0D7E" w:rsidRDefault="006B0D7E" w:rsidP="00F4073E">
            <w:pPr>
              <w:rPr>
                <w:rFonts w:asciiTheme="majorHAnsi" w:hAnsiTheme="majorHAnsi" w:cs="Arial"/>
                <w:color w:val="1A1A1A"/>
                <w:szCs w:val="26"/>
                <w:lang w:val="en-US"/>
              </w:rPr>
            </w:pPr>
          </w:p>
          <w:p w:rsidR="006B0D7E" w:rsidRDefault="006B0D7E" w:rsidP="00F4073E">
            <w:pPr>
              <w:rPr>
                <w:rFonts w:asciiTheme="majorHAnsi" w:hAnsiTheme="majorHAnsi" w:cs="Arial"/>
                <w:color w:val="1A1A1A"/>
                <w:szCs w:val="26"/>
                <w:lang w:val="en-US"/>
              </w:rPr>
            </w:pPr>
          </w:p>
          <w:p w:rsidR="00F4073E" w:rsidRDefault="00F4073E" w:rsidP="00F4073E">
            <w:pPr>
              <w:rPr>
                <w:rFonts w:asciiTheme="majorHAnsi" w:hAnsiTheme="majorHAnsi" w:cs="Arial"/>
                <w:color w:val="1A1A1A"/>
                <w:szCs w:val="26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BF"/>
            </w:tblPr>
            <w:tblGrid>
              <w:gridCol w:w="4321"/>
            </w:tblGrid>
            <w:tr w:rsidR="006B0D7E" w:rsidRPr="00F4073E">
              <w:tc>
                <w:tcPr>
                  <w:tcW w:w="11022" w:type="dxa"/>
                </w:tcPr>
                <w:p w:rsidR="006B0D7E" w:rsidRPr="006B0D7E" w:rsidRDefault="006B0D7E" w:rsidP="006B0D7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hAnsiTheme="majorHAnsi" w:cs="Trebuchet MS"/>
                      <w:bCs/>
                      <w:color w:val="1E2C3B"/>
                      <w:szCs w:val="40"/>
                      <w:lang w:val="en-US"/>
                    </w:rPr>
                  </w:pPr>
                  <w:r w:rsidRPr="006B0D7E">
                    <w:rPr>
                      <w:rFonts w:asciiTheme="majorHAnsi" w:hAnsiTheme="majorHAnsi" w:cs="Trebuchet MS"/>
                      <w:color w:val="1A1A1A"/>
                      <w:szCs w:val="26"/>
                      <w:lang w:val="en-US"/>
                    </w:rPr>
                    <w:t>Label the arrows on the polar bears with the four different methods of heat transfer.</w:t>
                  </w:r>
                </w:p>
              </w:tc>
            </w:tr>
          </w:tbl>
          <w:p w:rsidR="00F4073E" w:rsidRPr="00F4073E" w:rsidRDefault="00F4073E" w:rsidP="00F4073E">
            <w:pPr>
              <w:rPr>
                <w:rFonts w:asciiTheme="majorHAnsi" w:hAnsiTheme="majorHAnsi" w:cs="Trebuchet MS"/>
                <w:bCs/>
                <w:color w:val="1E2C3B"/>
                <w:szCs w:val="40"/>
                <w:lang w:val="en-US"/>
              </w:rPr>
            </w:pPr>
          </w:p>
        </w:tc>
        <w:tc>
          <w:tcPr>
            <w:tcW w:w="6485" w:type="dxa"/>
          </w:tcPr>
          <w:p w:rsidR="00F4073E" w:rsidRPr="00F4073E" w:rsidRDefault="00F4073E">
            <w:pPr>
              <w:rPr>
                <w:rFonts w:asciiTheme="majorHAnsi" w:hAnsiTheme="majorHAnsi" w:cs="Trebuchet MS"/>
                <w:bCs/>
                <w:color w:val="1E2C3B"/>
                <w:szCs w:val="40"/>
                <w:lang w:val="en-US"/>
              </w:rPr>
            </w:pPr>
          </w:p>
        </w:tc>
      </w:tr>
    </w:tbl>
    <w:p w:rsidR="006B0D7E" w:rsidRDefault="006B0D7E" w:rsidP="00F4073E">
      <w:pPr>
        <w:rPr>
          <w:rFonts w:asciiTheme="majorHAnsi" w:hAnsiTheme="majorHAnsi" w:cs="Trebuchet MS"/>
          <w:bCs/>
          <w:color w:val="1E2C3B"/>
          <w:szCs w:val="40"/>
          <w:lang w:val="en-US"/>
        </w:rPr>
      </w:pPr>
    </w:p>
    <w:p w:rsidR="00F4073E" w:rsidRPr="00F4073E" w:rsidRDefault="00F4073E" w:rsidP="00F4073E">
      <w:pPr>
        <w:rPr>
          <w:rFonts w:asciiTheme="majorHAnsi" w:hAnsiTheme="majorHAnsi" w:cs="Trebuchet MS"/>
          <w:bCs/>
          <w:color w:val="1E2C3B"/>
          <w:szCs w:val="40"/>
          <w:lang w:val="en-US"/>
        </w:rPr>
      </w:pPr>
    </w:p>
    <w:p w:rsidR="00E074DC" w:rsidRPr="00E074DC" w:rsidRDefault="00E074DC" w:rsidP="006B0D7E">
      <w:pPr>
        <w:numPr>
          <w:ilvl w:val="0"/>
          <w:numId w:val="1"/>
        </w:numPr>
        <w:rPr>
          <w:rFonts w:asciiTheme="majorHAnsi" w:hAnsiTheme="majorHAnsi" w:cs="Trebuchet MS"/>
          <w:bCs/>
          <w:color w:val="1E2C3B"/>
          <w:szCs w:val="40"/>
          <w:lang w:val="en-US"/>
        </w:rPr>
      </w:pPr>
      <w:r>
        <w:rPr>
          <w:rFonts w:asciiTheme="majorHAnsi" w:hAnsiTheme="majorHAnsi" w:cs="Trebuchet MS"/>
          <w:color w:val="1A1A1A"/>
          <w:szCs w:val="26"/>
          <w:lang w:val="en-US"/>
        </w:rPr>
        <w:t>Adaptations to heat transfer may be classified into three types;</w:t>
      </w:r>
    </w:p>
    <w:p w:rsidR="00E074DC" w:rsidRPr="00E074DC" w:rsidRDefault="00E074DC" w:rsidP="00E074DC">
      <w:pPr>
        <w:pStyle w:val="ListParagraph"/>
        <w:numPr>
          <w:ilvl w:val="1"/>
          <w:numId w:val="1"/>
        </w:numPr>
        <w:rPr>
          <w:rFonts w:asciiTheme="majorHAnsi" w:hAnsiTheme="majorHAnsi" w:cs="Trebuchet MS"/>
          <w:color w:val="1A1A1A"/>
          <w:szCs w:val="26"/>
        </w:rPr>
      </w:pPr>
      <w:r w:rsidRPr="00E074DC">
        <w:rPr>
          <w:rFonts w:asciiTheme="majorHAnsi" w:hAnsiTheme="majorHAnsi" w:cs="Trebuchet MS"/>
          <w:color w:val="1A1A1A"/>
          <w:szCs w:val="26"/>
          <w:lang w:val="en-US"/>
        </w:rPr>
        <w:t>Structural adapt</w:t>
      </w:r>
      <w:r>
        <w:rPr>
          <w:rFonts w:asciiTheme="majorHAnsi" w:hAnsiTheme="majorHAnsi" w:cs="Trebuchet MS"/>
          <w:color w:val="1A1A1A"/>
          <w:szCs w:val="26"/>
          <w:lang w:val="en-US"/>
        </w:rPr>
        <w:t xml:space="preserve">ation - </w:t>
      </w:r>
      <w:r w:rsidRPr="00E074DC">
        <w:rPr>
          <w:rFonts w:asciiTheme="majorHAnsi" w:hAnsiTheme="majorHAnsi" w:cs="Trebuchet MS"/>
          <w:color w:val="1A1A1A"/>
          <w:szCs w:val="26"/>
        </w:rPr>
        <w:t>physical features of an organism</w:t>
      </w:r>
    </w:p>
    <w:p w:rsidR="00E074DC" w:rsidRPr="00E074DC" w:rsidRDefault="00E074DC" w:rsidP="00E074DC">
      <w:pPr>
        <w:pStyle w:val="ListParagraph"/>
        <w:numPr>
          <w:ilvl w:val="1"/>
          <w:numId w:val="1"/>
        </w:numPr>
        <w:rPr>
          <w:rFonts w:asciiTheme="majorHAnsi" w:hAnsiTheme="majorHAnsi" w:cs="Trebuchet MS"/>
          <w:color w:val="1A1A1A"/>
          <w:szCs w:val="26"/>
        </w:rPr>
      </w:pPr>
      <w:r w:rsidRPr="00E074DC">
        <w:rPr>
          <w:rFonts w:ascii="Arial" w:hAnsi="Arial" w:cs="Arial"/>
          <w:iCs/>
          <w:color w:val="000000" w:themeColor="text1"/>
          <w:sz w:val="22"/>
          <w:szCs w:val="20"/>
          <w:shd w:val="clear" w:color="auto" w:fill="FFFFFF"/>
        </w:rPr>
        <w:t>Physiological</w:t>
      </w:r>
      <w:r w:rsidRPr="00E074DC">
        <w:rPr>
          <w:rStyle w:val="apple-converted-space"/>
          <w:rFonts w:ascii="Arial" w:hAnsi="Arial" w:cs="Arial"/>
          <w:b/>
          <w:iCs/>
          <w:color w:val="000000" w:themeColor="text1"/>
          <w:sz w:val="22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Cs/>
          <w:color w:val="000000" w:themeColor="text1"/>
          <w:sz w:val="22"/>
          <w:szCs w:val="20"/>
          <w:shd w:val="clear" w:color="auto" w:fill="FFFFFF"/>
        </w:rPr>
        <w:t xml:space="preserve">adaptation - </w:t>
      </w:r>
      <w:r w:rsidRPr="00E074DC">
        <w:rPr>
          <w:rFonts w:ascii="Arial" w:hAnsi="Arial" w:cs="Arial"/>
          <w:color w:val="000000" w:themeColor="text1"/>
          <w:sz w:val="22"/>
          <w:szCs w:val="20"/>
          <w:shd w:val="clear" w:color="auto" w:fill="FFFFFF"/>
        </w:rPr>
        <w:t xml:space="preserve">permits the organism to perform special </w:t>
      </w:r>
      <w:r>
        <w:rPr>
          <w:rFonts w:ascii="Arial" w:hAnsi="Arial" w:cs="Arial"/>
          <w:color w:val="000000" w:themeColor="text1"/>
          <w:sz w:val="22"/>
          <w:szCs w:val="20"/>
          <w:shd w:val="clear" w:color="auto" w:fill="FFFFFF"/>
        </w:rPr>
        <w:t xml:space="preserve">internal </w:t>
      </w:r>
      <w:r w:rsidRPr="00E074DC">
        <w:rPr>
          <w:rFonts w:ascii="Arial" w:hAnsi="Arial" w:cs="Arial"/>
          <w:color w:val="000000" w:themeColor="text1"/>
          <w:sz w:val="22"/>
          <w:szCs w:val="20"/>
          <w:shd w:val="clear" w:color="auto" w:fill="FFFFFF"/>
        </w:rPr>
        <w:t xml:space="preserve">functions </w:t>
      </w:r>
    </w:p>
    <w:p w:rsidR="00E074DC" w:rsidRPr="00E074DC" w:rsidRDefault="00E074DC" w:rsidP="00E074DC">
      <w:pPr>
        <w:pStyle w:val="ListParagraph"/>
        <w:numPr>
          <w:ilvl w:val="1"/>
          <w:numId w:val="1"/>
        </w:numPr>
        <w:rPr>
          <w:b/>
          <w:lang w:val="en-US"/>
        </w:rPr>
      </w:pPr>
      <w:r w:rsidRPr="00E074DC">
        <w:rPr>
          <w:rFonts w:ascii="Arial" w:hAnsi="Arial" w:cs="Arial"/>
          <w:iCs/>
          <w:color w:val="000000" w:themeColor="text1"/>
          <w:sz w:val="22"/>
          <w:szCs w:val="20"/>
          <w:shd w:val="clear" w:color="auto" w:fill="FFFFFF"/>
        </w:rPr>
        <w:t>Behavioural adaptation</w:t>
      </w:r>
      <w:r>
        <w:rPr>
          <w:rFonts w:ascii="Arial" w:hAnsi="Arial" w:cs="Arial"/>
          <w:color w:val="000000" w:themeColor="text1"/>
          <w:sz w:val="22"/>
          <w:szCs w:val="20"/>
          <w:shd w:val="clear" w:color="auto" w:fill="FFFFFF"/>
        </w:rPr>
        <w:t xml:space="preserve"> - i</w:t>
      </w:r>
      <w:r w:rsidRPr="00E074DC">
        <w:rPr>
          <w:rFonts w:ascii="Arial" w:hAnsi="Arial" w:cs="Arial"/>
          <w:color w:val="000000" w:themeColor="text1"/>
          <w:sz w:val="22"/>
          <w:szCs w:val="20"/>
          <w:shd w:val="clear" w:color="auto" w:fill="FFFFFF"/>
        </w:rPr>
        <w:t>nherited behaviour chains and/or the ability to learn</w:t>
      </w:r>
      <w:r>
        <w:rPr>
          <w:rFonts w:ascii="Arial" w:hAnsi="Arial" w:cs="Arial"/>
          <w:color w:val="000000" w:themeColor="text1"/>
          <w:sz w:val="22"/>
          <w:szCs w:val="20"/>
          <w:shd w:val="clear" w:color="auto" w:fill="FFFFFF"/>
        </w:rPr>
        <w:t>.</w:t>
      </w:r>
    </w:p>
    <w:p w:rsidR="00E074DC" w:rsidRPr="00E074DC" w:rsidRDefault="00E074DC" w:rsidP="00E074DC">
      <w:pPr>
        <w:pStyle w:val="ListParagraph"/>
        <w:numPr>
          <w:ilvl w:val="1"/>
          <w:numId w:val="1"/>
        </w:numPr>
        <w:rPr>
          <w:b/>
          <w:lang w:val="en-US"/>
        </w:rPr>
      </w:pPr>
    </w:p>
    <w:p w:rsidR="00E074DC" w:rsidRPr="00E074DC" w:rsidRDefault="00E074DC" w:rsidP="00E074DC">
      <w:pPr>
        <w:pStyle w:val="ListParagraph"/>
        <w:numPr>
          <w:ilvl w:val="1"/>
          <w:numId w:val="1"/>
        </w:numPr>
        <w:rPr>
          <w:b/>
          <w:lang w:val="en-US"/>
        </w:rPr>
      </w:pPr>
    </w:p>
    <w:p w:rsidR="00E074DC" w:rsidRPr="00E074DC" w:rsidRDefault="006B0D7E">
      <w:pPr>
        <w:rPr>
          <w:b/>
          <w:lang w:val="en-US"/>
        </w:rPr>
      </w:pPr>
      <w:r w:rsidRPr="00E074DC">
        <w:rPr>
          <w:rFonts w:asciiTheme="majorHAnsi" w:hAnsiTheme="majorHAnsi" w:cs="Trebuchet MS"/>
          <w:color w:val="1A1A1A"/>
          <w:szCs w:val="26"/>
          <w:lang w:val="en-US"/>
        </w:rPr>
        <w:t>Describe some adaptations that help the polar bear maintain a stable internal body temperature under such conditions.</w:t>
      </w:r>
    </w:p>
    <w:p w:rsidR="00E074DC" w:rsidRDefault="00E074DC">
      <w:pPr>
        <w:rPr>
          <w:lang w:val="en-US"/>
        </w:rPr>
      </w:pPr>
    </w:p>
    <w:sectPr w:rsidR="00E074DC" w:rsidSect="00F4073E">
      <w:pgSz w:w="11899" w:h="16838"/>
      <w:pgMar w:top="851" w:right="560" w:bottom="709" w:left="851" w:header="708" w:footer="708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3EE7724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8410B7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6DB9"/>
    <w:rsid w:val="005602CC"/>
    <w:rsid w:val="006B0D7E"/>
    <w:rsid w:val="006C5082"/>
    <w:rsid w:val="00B06DB9"/>
    <w:rsid w:val="00B2385F"/>
    <w:rsid w:val="00E074DC"/>
    <w:rsid w:val="00F4073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D0375"/>
    <w:rPr>
      <w:lang w:val="en-AU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06D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F407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07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161</Words>
  <Characters>920</Characters>
  <Application>Microsoft Macintosh Word</Application>
  <DocSecurity>0</DocSecurity>
  <Lines>7</Lines>
  <Paragraphs>1</Paragraphs>
  <ScaleCrop>false</ScaleCrop>
  <Company>Morritt Pty Ltd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Morritt</dc:creator>
  <cp:keywords/>
  <cp:lastModifiedBy>Catherine Morritt</cp:lastModifiedBy>
  <cp:revision>4</cp:revision>
  <dcterms:created xsi:type="dcterms:W3CDTF">2013-06-24T21:59:00Z</dcterms:created>
  <dcterms:modified xsi:type="dcterms:W3CDTF">2013-06-24T23:03:00Z</dcterms:modified>
</cp:coreProperties>
</file>